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Интегрированный риск- менеджмент</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«Интегрированный риск-менеджмент»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«Интегрированный риск-менеджмент».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«Интегрированный риск-менеджмент»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стратегические и оперативные цели и задачи системы управления рисками в организации, стратегии, методы управления рисками и варианты их применения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внутренний и внешний контекст функционирования организации; внешний и внутренний контекст процесса управления рисками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принципы теории управления изменениями, принципы построения систем управления рисками;  элементы системы управления рисками и их взаимосвязь</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полномочия и обязательства менеджмента по реализации плана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компоненты системы управления рисками и их взаимосвязь; этапы разработки систем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устанавливать и поддерживать деловые контакты, связи, отношения с сотрудниками организации и заинтересованными сторонами по вопросам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вырабатывать рекомендации по принятию решений в сфере управления рисками,  формулировать решения в рамках подразделения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описывать бизнес-процессы с учетом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применять термины и принципы рискменеджмента, стратегии, методы управления рисками и варианты их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внедрять системы управления рисками на уровне организации, подразделения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выявлять внешний и внутренний контекст функционирования организации, анализировать актуальные данные по системе управления рисками, лучшие практики построения системы управления рисками в России и мире, тенденции риск- менеджмента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реализации плана построения системы управления рисками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владеть навыками менеджмента по реализации плана управления рисками, обеспечения соответствия системы управления рисками внешним требованиям и лучшим практикам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«Интегрированный риск-менеджмент» относится к обязательной части, является дисциплиной Блока Б1. «Дисциплины (модули)».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рисками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рисками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интегрированного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количественные методы измерения и моделирования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кредитных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интегрированного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количественные методы измерения и моделирования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кредитных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интегрированного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количественные методы измерения и моделирования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кредитных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 Воронцовский А. В.. - 2-е изд. - Москва: Юрайт, 2020. - 485 с . - ISBN: 978-5-534- 12206-0. - URL: https://urait.ru/bcode/450664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371.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концепции интегрированного управления рисками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Что такое риск? Понятие риска и неопределенности. Принятие решений в условиях неопределенности. (risk tolerance, risk aversion). Создание стоимости с использованием риск-менеджмента. Концепция интегрированного управления рисками COSO (ERM) и ее эволюция до наших дней. Законы Сарбанеса-Оксли и Додда-Франка. Рекомендации Базельского комитета. Стандартизация процесса управления рисками. Стандарты ISO (ISO_IEC_GUIDE_73, ISO 9000; семейство стандартов ISO 31000; интегрированная система управления экологическими рисками и безопасностью персонала; стандарты информационной безопасности). Стандарты профессиональных ассоциаций (FERMA, ISDA, ISMA, GARP, PRMA). Процесс риск менеджмента в ERM. Типы рисков. Идентификация рисков и их источников. (подходы Top-Down; Bottom-Up).</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количественные методы измерения и моделирования рисков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рисков. Количественные и качественные методы оценки рисков. Карты и матрицы рисков. Стандартное отклонение как мера риска; концепция Value-at-Risk. Другие используемые метрики: Expected shortfall. Value-at-risk для портфеля, состоящего из нескольких активов. Стресс-тестирование и сценарный анализ. Прогноз денежного потока компании и анализ его чувствительности к изменениям рыночных факторов. Показатель Cash flow-at-risk.</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кредитных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Измерение кредитных рисков. Концепция Credit-VAR. Понятия вероятности дефолта, LGD, recovery rate. Кредитные рейтинги. Основные модели оценки кредитных рисков (KMV и другие). Понятие секъюритизации активов, инструменты секъюритизации активов.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финансовыми рисками</w:t>
            </w:r>
          </w:p>
        </w:tc>
      </w:tr>
      <w:tr>
        <w:trPr>
          <w:trHeight w:hRule="exact" w:val="1306.6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работы Sales&amp;Trading десков в России. Принципы работы зарубежных и локальных банков. Введение в управление рыночными рисками. Различия работы сейлз и трейдинга. Производные инструменты: ключевые понятия. Развитие рынка производных инструментов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-производные инструменты: форвард, фьючерс, опцион, своп;</w:t>
            </w:r>
          </w:p>
          <w:p>
            <w:pPr>
              <w:jc w:val="both"/>
              <w:spacing w:after="0" w:line="240" w:lineRule="auto"/>
              <w:rPr>
                <w:sz w:val="24"/>
                <w:szCs w:val="24"/>
              </w:rPr>
            </w:pPr>
            <w:r>
              <w:rPr>
                <w:rFonts w:ascii="Times New Roman" w:hAnsi="Times New Roman" w:cs="Times New Roman"/>
                <w:color w:val="#000000"/>
                <w:sz w:val="24"/>
                <w:szCs w:val="24"/>
              </w:rPr>
              <w:t> -хеджирование денежного потока компании с помощью производных инструментов;</w:t>
            </w:r>
          </w:p>
          <w:p>
            <w:pPr>
              <w:jc w:val="both"/>
              <w:spacing w:after="0" w:line="240" w:lineRule="auto"/>
              <w:rPr>
                <w:sz w:val="24"/>
                <w:szCs w:val="24"/>
              </w:rPr>
            </w:pPr>
            <w:r>
              <w:rPr>
                <w:rFonts w:ascii="Times New Roman" w:hAnsi="Times New Roman" w:cs="Times New Roman"/>
                <w:color w:val="#000000"/>
                <w:sz w:val="24"/>
                <w:szCs w:val="24"/>
              </w:rPr>
              <w:t> -развитие рынка производных инструментов в России.</w:t>
            </w:r>
          </w:p>
          <w:p>
            <w:pPr>
              <w:jc w:val="both"/>
              <w:spacing w:after="0" w:line="240" w:lineRule="auto"/>
              <w:rPr>
                <w:sz w:val="24"/>
                <w:szCs w:val="24"/>
              </w:rPr>
            </w:pPr>
            <w:r>
              <w:rPr>
                <w:rFonts w:ascii="Times New Roman" w:hAnsi="Times New Roman" w:cs="Times New Roman"/>
                <w:color w:val="#000000"/>
                <w:sz w:val="24"/>
                <w:szCs w:val="24"/>
              </w:rPr>
              <w:t> Управление валютными рисками:</w:t>
            </w:r>
          </w:p>
          <w:p>
            <w:pPr>
              <w:jc w:val="both"/>
              <w:spacing w:after="0" w:line="240" w:lineRule="auto"/>
              <w:rPr>
                <w:sz w:val="24"/>
                <w:szCs w:val="24"/>
              </w:rPr>
            </w:pPr>
            <w:r>
              <w:rPr>
                <w:rFonts w:ascii="Times New Roman" w:hAnsi="Times New Roman" w:cs="Times New Roman"/>
                <w:color w:val="#000000"/>
                <w:sz w:val="24"/>
                <w:szCs w:val="24"/>
              </w:rPr>
              <w:t> -ценообразование валютных форвардов;</w:t>
            </w:r>
          </w:p>
          <w:p>
            <w:pPr>
              <w:jc w:val="both"/>
              <w:spacing w:after="0" w:line="240" w:lineRule="auto"/>
              <w:rPr>
                <w:sz w:val="24"/>
                <w:szCs w:val="24"/>
              </w:rPr>
            </w:pPr>
            <w:r>
              <w:rPr>
                <w:rFonts w:ascii="Times New Roman" w:hAnsi="Times New Roman" w:cs="Times New Roman"/>
                <w:color w:val="#000000"/>
                <w:sz w:val="24"/>
                <w:szCs w:val="24"/>
              </w:rPr>
              <w:t> -ценообразование валютных опционов;</w:t>
            </w:r>
          </w:p>
          <w:p>
            <w:pPr>
              <w:jc w:val="both"/>
              <w:spacing w:after="0" w:line="240" w:lineRule="auto"/>
              <w:rPr>
                <w:sz w:val="24"/>
                <w:szCs w:val="24"/>
              </w:rPr>
            </w:pPr>
            <w:r>
              <w:rPr>
                <w:rFonts w:ascii="Times New Roman" w:hAnsi="Times New Roman" w:cs="Times New Roman"/>
                <w:color w:val="#000000"/>
                <w:sz w:val="24"/>
                <w:szCs w:val="24"/>
              </w:rPr>
              <w:t> -применение валютных форвардов и опционов при хеджировании рыночных рисков;</w:t>
            </w:r>
          </w:p>
          <w:p>
            <w:pPr>
              <w:jc w:val="both"/>
              <w:spacing w:after="0" w:line="240" w:lineRule="auto"/>
              <w:rPr>
                <w:sz w:val="24"/>
                <w:szCs w:val="24"/>
              </w:rPr>
            </w:pPr>
            <w:r>
              <w:rPr>
                <w:rFonts w:ascii="Times New Roman" w:hAnsi="Times New Roman" w:cs="Times New Roman"/>
                <w:color w:val="#000000"/>
                <w:sz w:val="24"/>
                <w:szCs w:val="24"/>
              </w:rPr>
              <w:t>  -расчет MTM. Управление процентным риском:</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процентных свопов, валютно-процентных свопов, базисов;</w:t>
            </w:r>
          </w:p>
          <w:p>
            <w:pPr>
              <w:jc w:val="both"/>
              <w:spacing w:after="0" w:line="240" w:lineRule="auto"/>
              <w:rPr>
                <w:sz w:val="24"/>
                <w:szCs w:val="24"/>
              </w:rPr>
            </w:pPr>
            <w:r>
              <w:rPr>
                <w:rFonts w:ascii="Times New Roman" w:hAnsi="Times New Roman" w:cs="Times New Roman"/>
                <w:color w:val="#000000"/>
                <w:sz w:val="24"/>
                <w:szCs w:val="24"/>
              </w:rPr>
              <w:t> -Ценообразование процентных свопов;</w:t>
            </w:r>
          </w:p>
          <w:p>
            <w:pPr>
              <w:jc w:val="both"/>
              <w:spacing w:after="0" w:line="240" w:lineRule="auto"/>
              <w:rPr>
                <w:sz w:val="24"/>
                <w:szCs w:val="24"/>
              </w:rPr>
            </w:pPr>
            <w:r>
              <w:rPr>
                <w:rFonts w:ascii="Times New Roman" w:hAnsi="Times New Roman" w:cs="Times New Roman"/>
                <w:color w:val="#000000"/>
                <w:sz w:val="24"/>
                <w:szCs w:val="24"/>
              </w:rPr>
              <w:t> -Базисные свопы, MTM свопы. Управление кредитным риском:</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управления кредитным риском: VaR / CVA;</w:t>
            </w:r>
          </w:p>
          <w:p>
            <w:pPr>
              <w:jc w:val="both"/>
              <w:spacing w:after="0" w:line="240" w:lineRule="auto"/>
              <w:rPr>
                <w:sz w:val="24"/>
                <w:szCs w:val="24"/>
              </w:rPr>
            </w:pPr>
            <w:r>
              <w:rPr>
                <w:rFonts w:ascii="Times New Roman" w:hAnsi="Times New Roman" w:cs="Times New Roman"/>
                <w:color w:val="#000000"/>
                <w:sz w:val="24"/>
                <w:szCs w:val="24"/>
              </w:rPr>
              <w:t> -Концепция Wrong-way risk и Right-way risk;</w:t>
            </w:r>
          </w:p>
          <w:p>
            <w:pPr>
              <w:jc w:val="both"/>
              <w:spacing w:after="0" w:line="240" w:lineRule="auto"/>
              <w:rPr>
                <w:sz w:val="24"/>
                <w:szCs w:val="24"/>
              </w:rPr>
            </w:pPr>
            <w:r>
              <w:rPr>
                <w:rFonts w:ascii="Times New Roman" w:hAnsi="Times New Roman" w:cs="Times New Roman"/>
                <w:color w:val="#000000"/>
                <w:sz w:val="24"/>
                <w:szCs w:val="24"/>
              </w:rPr>
              <w:t>  -Расчет и применение CVA.</w:t>
            </w:r>
          </w:p>
          <w:p>
            <w:pPr>
              <w:jc w:val="both"/>
              <w:spacing w:after="0" w:line="240" w:lineRule="auto"/>
              <w:rPr>
                <w:sz w:val="24"/>
                <w:szCs w:val="24"/>
              </w:rPr>
            </w:pPr>
            <w:r>
              <w:rPr>
                <w:rFonts w:ascii="Times New Roman" w:hAnsi="Times New Roman" w:cs="Times New Roman"/>
                <w:color w:val="#000000"/>
                <w:sz w:val="24"/>
                <w:szCs w:val="24"/>
              </w:rPr>
              <w:t> Кредитные деривативы:</w:t>
            </w:r>
          </w:p>
          <w:p>
            <w:pPr>
              <w:jc w:val="both"/>
              <w:spacing w:after="0" w:line="240" w:lineRule="auto"/>
              <w:rPr>
                <w:sz w:val="24"/>
                <w:szCs w:val="24"/>
              </w:rPr>
            </w:pPr>
            <w:r>
              <w:rPr>
                <w:rFonts w:ascii="Times New Roman" w:hAnsi="Times New Roman" w:cs="Times New Roman"/>
                <w:color w:val="#000000"/>
                <w:sz w:val="24"/>
                <w:szCs w:val="24"/>
              </w:rPr>
              <w:t>  -Принципы работы CDS:</w:t>
            </w:r>
          </w:p>
          <w:p>
            <w:pPr>
              <w:jc w:val="both"/>
              <w:spacing w:after="0" w:line="240" w:lineRule="auto"/>
              <w:rPr>
                <w:sz w:val="24"/>
                <w:szCs w:val="24"/>
              </w:rPr>
            </w:pPr>
            <w:r>
              <w:rPr>
                <w:rFonts w:ascii="Times New Roman" w:hAnsi="Times New Roman" w:cs="Times New Roman"/>
                <w:color w:val="#000000"/>
                <w:sz w:val="24"/>
                <w:szCs w:val="24"/>
              </w:rPr>
              <w:t> -Ценообразование CDS:</w:t>
            </w:r>
          </w:p>
          <w:p>
            <w:pPr>
              <w:jc w:val="both"/>
              <w:spacing w:after="0" w:line="240" w:lineRule="auto"/>
              <w:rPr>
                <w:sz w:val="24"/>
                <w:szCs w:val="24"/>
              </w:rPr>
            </w:pPr>
            <w:r>
              <w:rPr>
                <w:rFonts w:ascii="Times New Roman" w:hAnsi="Times New Roman" w:cs="Times New Roman"/>
                <w:color w:val="#000000"/>
                <w:sz w:val="24"/>
                <w:szCs w:val="24"/>
              </w:rPr>
              <w:t> -Основные принципы рынка CDS.</w:t>
            </w:r>
          </w:p>
          <w:p>
            <w:pPr>
              <w:jc w:val="both"/>
              <w:spacing w:after="0" w:line="240" w:lineRule="auto"/>
              <w:rPr>
                <w:sz w:val="24"/>
                <w:szCs w:val="24"/>
              </w:rPr>
            </w:pPr>
            <w:r>
              <w:rPr>
                <w:rFonts w:ascii="Times New Roman" w:hAnsi="Times New Roman" w:cs="Times New Roman"/>
                <w:color w:val="#000000"/>
                <w:sz w:val="24"/>
                <w:szCs w:val="24"/>
              </w:rPr>
              <w:t> Основные принципы работы Sales&amp;Trading десков в России. Принципы работы зарубежных и локальных банков. Введение в управление рыночными рисками. Различия работы сейлз и трейдинга. Производные инструменты: ключевые понятия. Развитие рынка производных инструментов в России:</w:t>
            </w:r>
          </w:p>
          <w:p>
            <w:pPr>
              <w:jc w:val="both"/>
              <w:spacing w:after="0" w:line="240" w:lineRule="auto"/>
              <w:rPr>
                <w:sz w:val="24"/>
                <w:szCs w:val="24"/>
              </w:rPr>
            </w:pPr>
            <w:r>
              <w:rPr>
                <w:rFonts w:ascii="Times New Roman" w:hAnsi="Times New Roman" w:cs="Times New Roman"/>
                <w:color w:val="#000000"/>
                <w:sz w:val="24"/>
                <w:szCs w:val="24"/>
              </w:rPr>
              <w:t> -производные инструменты: форвард, фьючерс, опцион, своп;</w:t>
            </w:r>
          </w:p>
          <w:p>
            <w:pPr>
              <w:jc w:val="both"/>
              <w:spacing w:after="0" w:line="240" w:lineRule="auto"/>
              <w:rPr>
                <w:sz w:val="24"/>
                <w:szCs w:val="24"/>
              </w:rPr>
            </w:pPr>
            <w:r>
              <w:rPr>
                <w:rFonts w:ascii="Times New Roman" w:hAnsi="Times New Roman" w:cs="Times New Roman"/>
                <w:color w:val="#000000"/>
                <w:sz w:val="24"/>
                <w:szCs w:val="24"/>
              </w:rPr>
              <w:t> -хеджирование денежного потока компании с помощью производных инструментов;</w:t>
            </w:r>
          </w:p>
          <w:p>
            <w:pPr>
              <w:jc w:val="both"/>
              <w:spacing w:after="0" w:line="240" w:lineRule="auto"/>
              <w:rPr>
                <w:sz w:val="24"/>
                <w:szCs w:val="24"/>
              </w:rPr>
            </w:pPr>
            <w:r>
              <w:rPr>
                <w:rFonts w:ascii="Times New Roman" w:hAnsi="Times New Roman" w:cs="Times New Roman"/>
                <w:color w:val="#000000"/>
                <w:sz w:val="24"/>
                <w:szCs w:val="24"/>
              </w:rPr>
              <w:t> -развитие рынка производных инструментов в России.</w:t>
            </w:r>
          </w:p>
          <w:p>
            <w:pPr>
              <w:jc w:val="both"/>
              <w:spacing w:after="0" w:line="240" w:lineRule="auto"/>
              <w:rPr>
                <w:sz w:val="24"/>
                <w:szCs w:val="24"/>
              </w:rPr>
            </w:pPr>
            <w:r>
              <w:rPr>
                <w:rFonts w:ascii="Times New Roman" w:hAnsi="Times New Roman" w:cs="Times New Roman"/>
                <w:color w:val="#000000"/>
                <w:sz w:val="24"/>
                <w:szCs w:val="24"/>
              </w:rPr>
              <w:t> Управление валютными рисками:</w:t>
            </w:r>
          </w:p>
          <w:p>
            <w:pPr>
              <w:jc w:val="both"/>
              <w:spacing w:after="0" w:line="240" w:lineRule="auto"/>
              <w:rPr>
                <w:sz w:val="24"/>
                <w:szCs w:val="24"/>
              </w:rPr>
            </w:pPr>
            <w:r>
              <w:rPr>
                <w:rFonts w:ascii="Times New Roman" w:hAnsi="Times New Roman" w:cs="Times New Roman"/>
                <w:color w:val="#000000"/>
                <w:sz w:val="24"/>
                <w:szCs w:val="24"/>
              </w:rPr>
              <w:t> -ценообразование валютных форвардов;</w:t>
            </w:r>
          </w:p>
          <w:p>
            <w:pPr>
              <w:jc w:val="both"/>
              <w:spacing w:after="0" w:line="240" w:lineRule="auto"/>
              <w:rPr>
                <w:sz w:val="24"/>
                <w:szCs w:val="24"/>
              </w:rPr>
            </w:pPr>
            <w:r>
              <w:rPr>
                <w:rFonts w:ascii="Times New Roman" w:hAnsi="Times New Roman" w:cs="Times New Roman"/>
                <w:color w:val="#000000"/>
                <w:sz w:val="24"/>
                <w:szCs w:val="24"/>
              </w:rPr>
              <w:t> -ценообразование валютных опционов;</w:t>
            </w:r>
          </w:p>
          <w:p>
            <w:pPr>
              <w:jc w:val="both"/>
              <w:spacing w:after="0" w:line="240" w:lineRule="auto"/>
              <w:rPr>
                <w:sz w:val="24"/>
                <w:szCs w:val="24"/>
              </w:rPr>
            </w:pPr>
            <w:r>
              <w:rPr>
                <w:rFonts w:ascii="Times New Roman" w:hAnsi="Times New Roman" w:cs="Times New Roman"/>
                <w:color w:val="#000000"/>
                <w:sz w:val="24"/>
                <w:szCs w:val="24"/>
              </w:rPr>
              <w:t> -применение валютных форвардов и опционов при хеджировании рыночных рисков;</w:t>
            </w:r>
          </w:p>
          <w:p>
            <w:pPr>
              <w:jc w:val="both"/>
              <w:spacing w:after="0" w:line="240" w:lineRule="auto"/>
              <w:rPr>
                <w:sz w:val="24"/>
                <w:szCs w:val="24"/>
              </w:rPr>
            </w:pPr>
            <w:r>
              <w:rPr>
                <w:rFonts w:ascii="Times New Roman" w:hAnsi="Times New Roman" w:cs="Times New Roman"/>
                <w:color w:val="#000000"/>
                <w:sz w:val="24"/>
                <w:szCs w:val="24"/>
              </w:rPr>
              <w:t>  -расчет MTM. Управление процентным риском:</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процентных свопов, валютно-процентных свопов, базисов;</w:t>
            </w:r>
          </w:p>
          <w:p>
            <w:pPr>
              <w:jc w:val="both"/>
              <w:spacing w:after="0" w:line="240" w:lineRule="auto"/>
              <w:rPr>
                <w:sz w:val="24"/>
                <w:szCs w:val="24"/>
              </w:rPr>
            </w:pPr>
            <w:r>
              <w:rPr>
                <w:rFonts w:ascii="Times New Roman" w:hAnsi="Times New Roman" w:cs="Times New Roman"/>
                <w:color w:val="#000000"/>
                <w:sz w:val="24"/>
                <w:szCs w:val="24"/>
              </w:rPr>
              <w:t> -Ценообразование процентных свопов;</w:t>
            </w:r>
          </w:p>
          <w:p>
            <w:pPr>
              <w:jc w:val="both"/>
              <w:spacing w:after="0" w:line="240" w:lineRule="auto"/>
              <w:rPr>
                <w:sz w:val="24"/>
                <w:szCs w:val="24"/>
              </w:rPr>
            </w:pPr>
            <w:r>
              <w:rPr>
                <w:rFonts w:ascii="Times New Roman" w:hAnsi="Times New Roman" w:cs="Times New Roman"/>
                <w:color w:val="#000000"/>
                <w:sz w:val="24"/>
                <w:szCs w:val="24"/>
              </w:rPr>
              <w:t> -Базисные свопы, MTM свопы. Управление кредитным риском:</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управления кредитным риском: VaR / CVA;</w:t>
            </w:r>
          </w:p>
          <w:p>
            <w:pPr>
              <w:jc w:val="both"/>
              <w:spacing w:after="0" w:line="240" w:lineRule="auto"/>
              <w:rPr>
                <w:sz w:val="24"/>
                <w:szCs w:val="24"/>
              </w:rPr>
            </w:pPr>
            <w:r>
              <w:rPr>
                <w:rFonts w:ascii="Times New Roman" w:hAnsi="Times New Roman" w:cs="Times New Roman"/>
                <w:color w:val="#000000"/>
                <w:sz w:val="24"/>
                <w:szCs w:val="24"/>
              </w:rPr>
              <w:t> -Концепция Wrong-way risk и Right-way risk;</w:t>
            </w:r>
          </w:p>
          <w:p>
            <w:pPr>
              <w:jc w:val="both"/>
              <w:spacing w:after="0" w:line="240" w:lineRule="auto"/>
              <w:rPr>
                <w:sz w:val="24"/>
                <w:szCs w:val="24"/>
              </w:rPr>
            </w:pPr>
            <w:r>
              <w:rPr>
                <w:rFonts w:ascii="Times New Roman" w:hAnsi="Times New Roman" w:cs="Times New Roman"/>
                <w:color w:val="#000000"/>
                <w:sz w:val="24"/>
                <w:szCs w:val="24"/>
              </w:rPr>
              <w:t>  -Расчет и применение CVA.</w:t>
            </w:r>
          </w:p>
          <w:p>
            <w:pPr>
              <w:jc w:val="both"/>
              <w:spacing w:after="0" w:line="240" w:lineRule="auto"/>
              <w:rPr>
                <w:sz w:val="24"/>
                <w:szCs w:val="24"/>
              </w:rPr>
            </w:pPr>
            <w:r>
              <w:rPr>
                <w:rFonts w:ascii="Times New Roman" w:hAnsi="Times New Roman" w:cs="Times New Roman"/>
                <w:color w:val="#000000"/>
                <w:sz w:val="24"/>
                <w:szCs w:val="24"/>
              </w:rPr>
              <w:t> Кредитные деривативы:</w:t>
            </w:r>
          </w:p>
          <w:p>
            <w:pPr>
              <w:jc w:val="both"/>
              <w:spacing w:after="0" w:line="240" w:lineRule="auto"/>
              <w:rPr>
                <w:sz w:val="24"/>
                <w:szCs w:val="24"/>
              </w:rPr>
            </w:pPr>
            <w:r>
              <w:rPr>
                <w:rFonts w:ascii="Times New Roman" w:hAnsi="Times New Roman" w:cs="Times New Roman"/>
                <w:color w:val="#000000"/>
                <w:sz w:val="24"/>
                <w:szCs w:val="24"/>
              </w:rPr>
              <w:t>  -Принципы работы CDS:</w:t>
            </w:r>
          </w:p>
          <w:p>
            <w:pPr>
              <w:jc w:val="both"/>
              <w:spacing w:after="0" w:line="240" w:lineRule="auto"/>
              <w:rPr>
                <w:sz w:val="24"/>
                <w:szCs w:val="24"/>
              </w:rPr>
            </w:pPr>
            <w:r>
              <w:rPr>
                <w:rFonts w:ascii="Times New Roman" w:hAnsi="Times New Roman" w:cs="Times New Roman"/>
                <w:color w:val="#000000"/>
                <w:sz w:val="24"/>
                <w:szCs w:val="24"/>
              </w:rPr>
              <w:t> -Ценообразование CDS:</w:t>
            </w:r>
          </w:p>
          <w:p>
            <w:pPr>
              <w:jc w:val="both"/>
              <w:spacing w:after="0" w:line="240" w:lineRule="auto"/>
              <w:rPr>
                <w:sz w:val="24"/>
                <w:szCs w:val="24"/>
              </w:rPr>
            </w:pPr>
            <w:r>
              <w:rPr>
                <w:rFonts w:ascii="Times New Roman" w:hAnsi="Times New Roman" w:cs="Times New Roman"/>
                <w:color w:val="#000000"/>
                <w:sz w:val="24"/>
                <w:szCs w:val="24"/>
              </w:rPr>
              <w:t> -Основные принципы рынка CDS.</w:t>
            </w:r>
          </w:p>
          <w:p>
            <w:pPr>
              <w:jc w:val="both"/>
              <w:spacing w:after="0" w:line="240" w:lineRule="auto"/>
              <w:rPr>
                <w:sz w:val="24"/>
                <w:szCs w:val="24"/>
              </w:rPr>
            </w:pPr>
            <w:r>
              <w:rPr>
                <w:rFonts w:ascii="Times New Roman" w:hAnsi="Times New Roman" w:cs="Times New Roman"/>
                <w:color w:val="#000000"/>
                <w:sz w:val="24"/>
                <w:szCs w:val="24"/>
              </w:rPr>
              <w:t> Основные принципы работы Sales&amp;Trading десков в России. Принципы работы зарубежных и локальных банков. Введение в управление рыночными рисками. Различия работы сейлз и трейдинга. Производные инструменты: ключевые понятия. Развитие рынка производных инструментов в России:</w:t>
            </w:r>
          </w:p>
          <w:p>
            <w:pPr>
              <w:jc w:val="both"/>
              <w:spacing w:after="0" w:line="240" w:lineRule="auto"/>
              <w:rPr>
                <w:sz w:val="24"/>
                <w:szCs w:val="24"/>
              </w:rPr>
            </w:pPr>
            <w:r>
              <w:rPr>
                <w:rFonts w:ascii="Times New Roman" w:hAnsi="Times New Roman" w:cs="Times New Roman"/>
                <w:color w:val="#000000"/>
                <w:sz w:val="24"/>
                <w:szCs w:val="24"/>
              </w:rPr>
              <w:t> -производные инструменты: форвард, фьючерс, опцион, своп;</w:t>
            </w:r>
          </w:p>
          <w:p>
            <w:pPr>
              <w:jc w:val="both"/>
              <w:spacing w:after="0" w:line="240" w:lineRule="auto"/>
              <w:rPr>
                <w:sz w:val="24"/>
                <w:szCs w:val="24"/>
              </w:rPr>
            </w:pPr>
            <w:r>
              <w:rPr>
                <w:rFonts w:ascii="Times New Roman" w:hAnsi="Times New Roman" w:cs="Times New Roman"/>
                <w:color w:val="#000000"/>
                <w:sz w:val="24"/>
                <w:szCs w:val="24"/>
              </w:rPr>
              <w:t> -хеджирование денежного потока компании с помощью производных инструментов;</w:t>
            </w:r>
          </w:p>
          <w:p>
            <w:pPr>
              <w:jc w:val="both"/>
              <w:spacing w:after="0" w:line="240" w:lineRule="auto"/>
              <w:rPr>
                <w:sz w:val="24"/>
                <w:szCs w:val="24"/>
              </w:rPr>
            </w:pPr>
            <w:r>
              <w:rPr>
                <w:rFonts w:ascii="Times New Roman" w:hAnsi="Times New Roman" w:cs="Times New Roman"/>
                <w:color w:val="#000000"/>
                <w:sz w:val="24"/>
                <w:szCs w:val="24"/>
              </w:rPr>
              <w:t> -развитие рынка производных инструментов в России.</w:t>
            </w:r>
          </w:p>
          <w:p>
            <w:pPr>
              <w:jc w:val="both"/>
              <w:spacing w:after="0" w:line="240" w:lineRule="auto"/>
              <w:rPr>
                <w:sz w:val="24"/>
                <w:szCs w:val="24"/>
              </w:rPr>
            </w:pPr>
            <w:r>
              <w:rPr>
                <w:rFonts w:ascii="Times New Roman" w:hAnsi="Times New Roman" w:cs="Times New Roman"/>
                <w:color w:val="#000000"/>
                <w:sz w:val="24"/>
                <w:szCs w:val="24"/>
              </w:rPr>
              <w:t> Управление валютными рисками:</w:t>
            </w:r>
          </w:p>
          <w:p>
            <w:pPr>
              <w:jc w:val="both"/>
              <w:spacing w:after="0" w:line="240" w:lineRule="auto"/>
              <w:rPr>
                <w:sz w:val="24"/>
                <w:szCs w:val="24"/>
              </w:rPr>
            </w:pPr>
            <w:r>
              <w:rPr>
                <w:rFonts w:ascii="Times New Roman" w:hAnsi="Times New Roman" w:cs="Times New Roman"/>
                <w:color w:val="#000000"/>
                <w:sz w:val="24"/>
                <w:szCs w:val="24"/>
              </w:rPr>
              <w:t> -ценообразование валютных форвардов;</w:t>
            </w:r>
          </w:p>
          <w:p>
            <w:pPr>
              <w:jc w:val="both"/>
              <w:spacing w:after="0" w:line="240" w:lineRule="auto"/>
              <w:rPr>
                <w:sz w:val="24"/>
                <w:szCs w:val="24"/>
              </w:rPr>
            </w:pPr>
            <w:r>
              <w:rPr>
                <w:rFonts w:ascii="Times New Roman" w:hAnsi="Times New Roman" w:cs="Times New Roman"/>
                <w:color w:val="#000000"/>
                <w:sz w:val="24"/>
                <w:szCs w:val="24"/>
              </w:rPr>
              <w:t> -ценообразование валютных опционов;</w:t>
            </w:r>
          </w:p>
          <w:p>
            <w:pPr>
              <w:jc w:val="both"/>
              <w:spacing w:after="0" w:line="240" w:lineRule="auto"/>
              <w:rPr>
                <w:sz w:val="24"/>
                <w:szCs w:val="24"/>
              </w:rPr>
            </w:pPr>
            <w:r>
              <w:rPr>
                <w:rFonts w:ascii="Times New Roman" w:hAnsi="Times New Roman" w:cs="Times New Roman"/>
                <w:color w:val="#000000"/>
                <w:sz w:val="24"/>
                <w:szCs w:val="24"/>
              </w:rPr>
              <w:t> -применение валютных форвардов и опционов при хеджировании рыночных рисков;</w:t>
            </w:r>
          </w:p>
          <w:p>
            <w:pPr>
              <w:jc w:val="both"/>
              <w:spacing w:after="0" w:line="240" w:lineRule="auto"/>
              <w:rPr>
                <w:sz w:val="24"/>
                <w:szCs w:val="24"/>
              </w:rPr>
            </w:pPr>
            <w:r>
              <w:rPr>
                <w:rFonts w:ascii="Times New Roman" w:hAnsi="Times New Roman" w:cs="Times New Roman"/>
                <w:color w:val="#000000"/>
                <w:sz w:val="24"/>
                <w:szCs w:val="24"/>
              </w:rPr>
              <w:t>  -расчет MTM. Управление процентным риском:</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процентных свопов, валютно-процентных свопов, базисов;</w:t>
            </w:r>
          </w:p>
          <w:p>
            <w:pPr>
              <w:jc w:val="both"/>
              <w:spacing w:after="0" w:line="240" w:lineRule="auto"/>
              <w:rPr>
                <w:sz w:val="24"/>
                <w:szCs w:val="24"/>
              </w:rPr>
            </w:pPr>
            <w:r>
              <w:rPr>
                <w:rFonts w:ascii="Times New Roman" w:hAnsi="Times New Roman" w:cs="Times New Roman"/>
                <w:color w:val="#000000"/>
                <w:sz w:val="24"/>
                <w:szCs w:val="24"/>
              </w:rPr>
              <w:t> -Ценообразование процентных свопов;</w:t>
            </w:r>
          </w:p>
          <w:p>
            <w:pPr>
              <w:jc w:val="both"/>
              <w:spacing w:after="0" w:line="240" w:lineRule="auto"/>
              <w:rPr>
                <w:sz w:val="24"/>
                <w:szCs w:val="24"/>
              </w:rPr>
            </w:pPr>
            <w:r>
              <w:rPr>
                <w:rFonts w:ascii="Times New Roman" w:hAnsi="Times New Roman" w:cs="Times New Roman"/>
                <w:color w:val="#000000"/>
                <w:sz w:val="24"/>
                <w:szCs w:val="24"/>
              </w:rPr>
              <w:t> -Базисные свопы, MTM свопы. Управление кредитным риском:</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управления кредитным риском: VaR / CVA;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Wrong-way risk и Right-way risk;</w:t>
            </w:r>
          </w:p>
          <w:p>
            <w:pPr>
              <w:jc w:val="both"/>
              <w:spacing w:after="0" w:line="240" w:lineRule="auto"/>
              <w:rPr>
                <w:sz w:val="24"/>
                <w:szCs w:val="24"/>
              </w:rPr>
            </w:pPr>
            <w:r>
              <w:rPr>
                <w:rFonts w:ascii="Times New Roman" w:hAnsi="Times New Roman" w:cs="Times New Roman"/>
                <w:color w:val="#000000"/>
                <w:sz w:val="24"/>
                <w:szCs w:val="24"/>
              </w:rPr>
              <w:t>  -Расчет и применение CVA.</w:t>
            </w:r>
          </w:p>
          <w:p>
            <w:pPr>
              <w:jc w:val="both"/>
              <w:spacing w:after="0" w:line="240" w:lineRule="auto"/>
              <w:rPr>
                <w:sz w:val="24"/>
                <w:szCs w:val="24"/>
              </w:rPr>
            </w:pPr>
            <w:r>
              <w:rPr>
                <w:rFonts w:ascii="Times New Roman" w:hAnsi="Times New Roman" w:cs="Times New Roman"/>
                <w:color w:val="#000000"/>
                <w:sz w:val="24"/>
                <w:szCs w:val="24"/>
              </w:rPr>
              <w:t> Кредитные деривативы:</w:t>
            </w:r>
          </w:p>
          <w:p>
            <w:pPr>
              <w:jc w:val="both"/>
              <w:spacing w:after="0" w:line="240" w:lineRule="auto"/>
              <w:rPr>
                <w:sz w:val="24"/>
                <w:szCs w:val="24"/>
              </w:rPr>
            </w:pPr>
            <w:r>
              <w:rPr>
                <w:rFonts w:ascii="Times New Roman" w:hAnsi="Times New Roman" w:cs="Times New Roman"/>
                <w:color w:val="#000000"/>
                <w:sz w:val="24"/>
                <w:szCs w:val="24"/>
              </w:rPr>
              <w:t>  -Принципы работы CDS:</w:t>
            </w:r>
          </w:p>
          <w:p>
            <w:pPr>
              <w:jc w:val="both"/>
              <w:spacing w:after="0" w:line="240" w:lineRule="auto"/>
              <w:rPr>
                <w:sz w:val="24"/>
                <w:szCs w:val="24"/>
              </w:rPr>
            </w:pPr>
            <w:r>
              <w:rPr>
                <w:rFonts w:ascii="Times New Roman" w:hAnsi="Times New Roman" w:cs="Times New Roman"/>
                <w:color w:val="#000000"/>
                <w:sz w:val="24"/>
                <w:szCs w:val="24"/>
              </w:rPr>
              <w:t> -Ценообразование CDS:</w:t>
            </w:r>
          </w:p>
          <w:p>
            <w:pPr>
              <w:jc w:val="both"/>
              <w:spacing w:after="0" w:line="240" w:lineRule="auto"/>
              <w:rPr>
                <w:sz w:val="24"/>
                <w:szCs w:val="24"/>
              </w:rPr>
            </w:pPr>
            <w:r>
              <w:rPr>
                <w:rFonts w:ascii="Times New Roman" w:hAnsi="Times New Roman" w:cs="Times New Roman"/>
                <w:color w:val="#000000"/>
                <w:sz w:val="24"/>
                <w:szCs w:val="24"/>
              </w:rPr>
              <w:t> -Основные принципы рынка CDS.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Операционные риски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операционных рисков. Классификация операционных рисков. Основные типы операционных рисков. Особенности идентификации источников операционных рисков. Инструмент «галстук-бабочка» для идентификации операционных рисков. Оценка операционных рисков Метод FMEA как инструмент качественной оценки операционных рисков. Информационная безопасность и IT-риски. Система управления ИТ-рисками. Мониторинг операционных рисков. Проектирование базы данных рисковых событий. Аудит операционных рисков. Управление операционными рисками. Основные инструменты снижения операционных рисков.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концепции интегрированного управления рисками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Что такое риск? Понятие риска и неопределенности. Принятие решений в условиях неопределенности. (risk tolerance, risk aversion). Создание стоимости с использованием риск-менеджмента. Концепция интегрированного управления рисками COSO (ERM) и ее эволюция до наших дней. Законы Сарбанеса-Оксли и Додда-Франка. Рекомендации Базельского комитета. Стандартизация процесса управления рисками. Стандарты ISO (ISO_IEC_GUIDE_73, ISO 9000; семейство стандартов ISO 31000; интегрированная система управления экологическими рисками и безопасностью персонала; стандарты информационной безопасности). Стандарты профессиональных ассоциаций (FERMA, ISDA, ISMA, GARP, PRMA). Процесс риск менеджмента в ERM. Типы рисков. Идентификация рисков и их источников. (подходы Top-Down; Bottom-Up).</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количественные методы измерения и моделирования рисков</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управления рисками по мере роста волатильности бизнес-окружения. Причины появления интегрированных систем управления рисками. Основные элементы процесса управления рисками в интегрированных системах:</w:t>
            </w:r>
          </w:p>
          <w:p>
            <w:pPr>
              <w:jc w:val="both"/>
              <w:spacing w:after="0" w:line="240" w:lineRule="auto"/>
              <w:rPr>
                <w:sz w:val="24"/>
                <w:szCs w:val="24"/>
              </w:rPr>
            </w:pPr>
            <w:r>
              <w:rPr>
                <w:rFonts w:ascii="Times New Roman" w:hAnsi="Times New Roman" w:cs="Times New Roman"/>
                <w:color w:val="#000000"/>
                <w:sz w:val="24"/>
                <w:szCs w:val="24"/>
              </w:rPr>
              <w:t>  -идентификация рисков;</w:t>
            </w:r>
          </w:p>
          <w:p>
            <w:pPr>
              <w:jc w:val="both"/>
              <w:spacing w:after="0" w:line="240" w:lineRule="auto"/>
              <w:rPr>
                <w:sz w:val="24"/>
                <w:szCs w:val="24"/>
              </w:rPr>
            </w:pPr>
            <w:r>
              <w:rPr>
                <w:rFonts w:ascii="Times New Roman" w:hAnsi="Times New Roman" w:cs="Times New Roman"/>
                <w:color w:val="#000000"/>
                <w:sz w:val="24"/>
                <w:szCs w:val="24"/>
              </w:rPr>
              <w:t> -анализ рисков;</w:t>
            </w:r>
          </w:p>
          <w:p>
            <w:pPr>
              <w:jc w:val="both"/>
              <w:spacing w:after="0" w:line="240" w:lineRule="auto"/>
              <w:rPr>
                <w:sz w:val="24"/>
                <w:szCs w:val="24"/>
              </w:rPr>
            </w:pPr>
            <w:r>
              <w:rPr>
                <w:rFonts w:ascii="Times New Roman" w:hAnsi="Times New Roman" w:cs="Times New Roman"/>
                <w:color w:val="#000000"/>
                <w:sz w:val="24"/>
                <w:szCs w:val="24"/>
              </w:rPr>
              <w:t> -контроль за реализацией рисков;</w:t>
            </w:r>
          </w:p>
          <w:p>
            <w:pPr>
              <w:jc w:val="both"/>
              <w:spacing w:after="0" w:line="240" w:lineRule="auto"/>
              <w:rPr>
                <w:sz w:val="24"/>
                <w:szCs w:val="24"/>
              </w:rPr>
            </w:pPr>
            <w:r>
              <w:rPr>
                <w:rFonts w:ascii="Times New Roman" w:hAnsi="Times New Roman" w:cs="Times New Roman"/>
                <w:color w:val="#000000"/>
                <w:sz w:val="24"/>
                <w:szCs w:val="24"/>
              </w:rPr>
              <w:t> -мониторинг и принятие решений.</w:t>
            </w:r>
          </w:p>
          <w:p>
            <w:pPr>
              <w:jc w:val="both"/>
              <w:spacing w:after="0" w:line="240" w:lineRule="auto"/>
              <w:rPr>
                <w:sz w:val="24"/>
                <w:szCs w:val="24"/>
              </w:rPr>
            </w:pPr>
            <w:r>
              <w:rPr>
                <w:rFonts w:ascii="Times New Roman" w:hAnsi="Times New Roman" w:cs="Times New Roman"/>
                <w:color w:val="#000000"/>
                <w:sz w:val="24"/>
                <w:szCs w:val="24"/>
              </w:rPr>
              <w:t> Лучшие практики управления рисками в версии СOSO ERM 2017 года:</w:t>
            </w:r>
          </w:p>
          <w:p>
            <w:pPr>
              <w:jc w:val="both"/>
              <w:spacing w:after="0" w:line="240" w:lineRule="auto"/>
              <w:rPr>
                <w:sz w:val="24"/>
                <w:szCs w:val="24"/>
              </w:rPr>
            </w:pPr>
            <w:r>
              <w:rPr>
                <w:rFonts w:ascii="Times New Roman" w:hAnsi="Times New Roman" w:cs="Times New Roman"/>
                <w:color w:val="#000000"/>
                <w:sz w:val="24"/>
                <w:szCs w:val="24"/>
              </w:rPr>
              <w:t>  -усиление связи управления рисками и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-связь управления рисками с внутренним контролем и внутренним аудитом;</w:t>
            </w:r>
          </w:p>
          <w:p>
            <w:pPr>
              <w:jc w:val="both"/>
              <w:spacing w:after="0" w:line="240" w:lineRule="auto"/>
              <w:rPr>
                <w:sz w:val="24"/>
                <w:szCs w:val="24"/>
              </w:rPr>
            </w:pPr>
            <w:r>
              <w:rPr>
                <w:rFonts w:ascii="Times New Roman" w:hAnsi="Times New Roman" w:cs="Times New Roman"/>
                <w:color w:val="#000000"/>
                <w:sz w:val="24"/>
                <w:szCs w:val="24"/>
              </w:rPr>
              <w:t>  -развитие систем мотивации и риск культуры;</w:t>
            </w:r>
          </w:p>
          <w:p>
            <w:pPr>
              <w:jc w:val="both"/>
              <w:spacing w:after="0" w:line="240" w:lineRule="auto"/>
              <w:rPr>
                <w:sz w:val="24"/>
                <w:szCs w:val="24"/>
              </w:rPr>
            </w:pPr>
            <w:r>
              <w:rPr>
                <w:rFonts w:ascii="Times New Roman" w:hAnsi="Times New Roman" w:cs="Times New Roman"/>
                <w:color w:val="#000000"/>
                <w:sz w:val="24"/>
                <w:szCs w:val="24"/>
              </w:rPr>
              <w:t>  -понятие аппетита к риску и его оценка для нефинансовых компаний.</w:t>
            </w:r>
          </w:p>
          <w:p>
            <w:pPr>
              <w:jc w:val="both"/>
              <w:spacing w:after="0" w:line="240" w:lineRule="auto"/>
              <w:rPr>
                <w:sz w:val="24"/>
                <w:szCs w:val="24"/>
              </w:rPr>
            </w:pPr>
            <w:r>
              <w:rPr>
                <w:rFonts w:ascii="Times New Roman" w:hAnsi="Times New Roman" w:cs="Times New Roman"/>
                <w:color w:val="#000000"/>
                <w:sz w:val="24"/>
                <w:szCs w:val="24"/>
              </w:rPr>
              <w:t>  Риск-контроллинг:</w:t>
            </w:r>
          </w:p>
          <w:p>
            <w:pPr>
              <w:jc w:val="both"/>
              <w:spacing w:after="0" w:line="240" w:lineRule="auto"/>
              <w:rPr>
                <w:sz w:val="24"/>
                <w:szCs w:val="24"/>
              </w:rPr>
            </w:pPr>
            <w:r>
              <w:rPr>
                <w:rFonts w:ascii="Times New Roman" w:hAnsi="Times New Roman" w:cs="Times New Roman"/>
                <w:color w:val="#000000"/>
                <w:sz w:val="24"/>
                <w:szCs w:val="24"/>
              </w:rPr>
              <w:t> -риск-контроллинг как новый этап эволюционного развития интегрированных систем управления рисками;</w:t>
            </w:r>
          </w:p>
          <w:p>
            <w:pPr>
              <w:jc w:val="both"/>
              <w:spacing w:after="0" w:line="240" w:lineRule="auto"/>
              <w:rPr>
                <w:sz w:val="24"/>
                <w:szCs w:val="24"/>
              </w:rPr>
            </w:pPr>
            <w:r>
              <w:rPr>
                <w:rFonts w:ascii="Times New Roman" w:hAnsi="Times New Roman" w:cs="Times New Roman"/>
                <w:color w:val="#000000"/>
                <w:sz w:val="24"/>
                <w:szCs w:val="24"/>
              </w:rPr>
              <w:t> -система показателей риск-контроллинга (ключевых индикаторов рисков - KRI). Связь KRI и KPI;</w:t>
            </w:r>
          </w:p>
          <w:p>
            <w:pPr>
              <w:jc w:val="both"/>
              <w:spacing w:after="0" w:line="240" w:lineRule="auto"/>
              <w:rPr>
                <w:sz w:val="24"/>
                <w:szCs w:val="24"/>
              </w:rPr>
            </w:pPr>
            <w:r>
              <w:rPr>
                <w:rFonts w:ascii="Times New Roman" w:hAnsi="Times New Roman" w:cs="Times New Roman"/>
                <w:color w:val="#000000"/>
                <w:sz w:val="24"/>
                <w:szCs w:val="24"/>
              </w:rPr>
              <w:t> -риск-ориентированное планирование в системах риск-контроллинга;</w:t>
            </w:r>
          </w:p>
          <w:p>
            <w:pPr>
              <w:jc w:val="both"/>
              <w:spacing w:after="0" w:line="240" w:lineRule="auto"/>
              <w:rPr>
                <w:sz w:val="24"/>
                <w:szCs w:val="24"/>
              </w:rPr>
            </w:pPr>
            <w:r>
              <w:rPr>
                <w:rFonts w:ascii="Times New Roman" w:hAnsi="Times New Roman" w:cs="Times New Roman"/>
                <w:color w:val="#000000"/>
                <w:sz w:val="24"/>
                <w:szCs w:val="24"/>
              </w:rPr>
              <w:t> -виды контрольных процедур. Их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-информационная система риск-контроллинга;</w:t>
            </w:r>
          </w:p>
          <w:p>
            <w:pPr>
              <w:jc w:val="both"/>
              <w:spacing w:after="0" w:line="240" w:lineRule="auto"/>
              <w:rPr>
                <w:sz w:val="24"/>
                <w:szCs w:val="24"/>
              </w:rPr>
            </w:pPr>
            <w:r>
              <w:rPr>
                <w:rFonts w:ascii="Times New Roman" w:hAnsi="Times New Roman" w:cs="Times New Roman"/>
                <w:color w:val="#000000"/>
                <w:sz w:val="24"/>
                <w:szCs w:val="24"/>
              </w:rPr>
              <w:t>  -«американский» подход к риск-контроллингу. «Интеллектуальный» риск-менеджмент. Оценка уровней зрелости интегрированных систем риск-менеджмента.</w:t>
            </w:r>
          </w:p>
          <w:p>
            <w:pPr>
              <w:jc w:val="both"/>
              <w:spacing w:after="0" w:line="240" w:lineRule="auto"/>
              <w:rPr>
                <w:sz w:val="24"/>
                <w:szCs w:val="24"/>
              </w:rPr>
            </w:pPr>
            <w:r>
              <w:rPr>
                <w:rFonts w:ascii="Times New Roman" w:hAnsi="Times New Roman" w:cs="Times New Roman"/>
                <w:color w:val="#000000"/>
                <w:sz w:val="24"/>
                <w:szCs w:val="24"/>
              </w:rPr>
              <w:t> Приложение интегрированных систем управления рисками в органах государственной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кредитных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Измерение кредитных рисков. Концепция Credit-VAR. Понятия вероятности дефолта, LGD, recovery rate. Кредитные рейтинги. Основные модели оценки кредитных рисков (KMV и другие). Понятие секъюритизации активов, инструменты секъюритизации активов.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финансовыми рисками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работы Sales&amp;Trading десков в России. Принципы работы зарубежных и локальных банков. Введение в управление рыночными рисками. Различия работы сейлз и трейдинга. Производные инструменты: ключевые понятия. Развитие рынка производных инструментов в России:</w:t>
            </w:r>
          </w:p>
          <w:p>
            <w:pPr>
              <w:jc w:val="both"/>
              <w:spacing w:after="0" w:line="240" w:lineRule="auto"/>
              <w:rPr>
                <w:sz w:val="24"/>
                <w:szCs w:val="24"/>
              </w:rPr>
            </w:pPr>
            <w:r>
              <w:rPr>
                <w:rFonts w:ascii="Times New Roman" w:hAnsi="Times New Roman" w:cs="Times New Roman"/>
                <w:color w:val="#000000"/>
                <w:sz w:val="24"/>
                <w:szCs w:val="24"/>
              </w:rPr>
              <w:t> -производные инструменты: форвард, фьючерс, опцион, своп;</w:t>
            </w:r>
          </w:p>
          <w:p>
            <w:pPr>
              <w:jc w:val="both"/>
              <w:spacing w:after="0" w:line="240" w:lineRule="auto"/>
              <w:rPr>
                <w:sz w:val="24"/>
                <w:szCs w:val="24"/>
              </w:rPr>
            </w:pPr>
            <w:r>
              <w:rPr>
                <w:rFonts w:ascii="Times New Roman" w:hAnsi="Times New Roman" w:cs="Times New Roman"/>
                <w:color w:val="#000000"/>
                <w:sz w:val="24"/>
                <w:szCs w:val="24"/>
              </w:rPr>
              <w:t> -хеджирование денежного потока компании с помощью производных инструментов;</w:t>
            </w:r>
          </w:p>
          <w:p>
            <w:pPr>
              <w:jc w:val="both"/>
              <w:spacing w:after="0" w:line="240" w:lineRule="auto"/>
              <w:rPr>
                <w:sz w:val="24"/>
                <w:szCs w:val="24"/>
              </w:rPr>
            </w:pPr>
            <w:r>
              <w:rPr>
                <w:rFonts w:ascii="Times New Roman" w:hAnsi="Times New Roman" w:cs="Times New Roman"/>
                <w:color w:val="#000000"/>
                <w:sz w:val="24"/>
                <w:szCs w:val="24"/>
              </w:rPr>
              <w:t> -развитие рынка производных инструментов в России.</w:t>
            </w:r>
          </w:p>
          <w:p>
            <w:pPr>
              <w:jc w:val="both"/>
              <w:spacing w:after="0" w:line="240" w:lineRule="auto"/>
              <w:rPr>
                <w:sz w:val="24"/>
                <w:szCs w:val="24"/>
              </w:rPr>
            </w:pPr>
            <w:r>
              <w:rPr>
                <w:rFonts w:ascii="Times New Roman" w:hAnsi="Times New Roman" w:cs="Times New Roman"/>
                <w:color w:val="#000000"/>
                <w:sz w:val="24"/>
                <w:szCs w:val="24"/>
              </w:rPr>
              <w:t> Управление валютными рисками:</w:t>
            </w:r>
          </w:p>
          <w:p>
            <w:pPr>
              <w:jc w:val="both"/>
              <w:spacing w:after="0" w:line="240" w:lineRule="auto"/>
              <w:rPr>
                <w:sz w:val="24"/>
                <w:szCs w:val="24"/>
              </w:rPr>
            </w:pPr>
            <w:r>
              <w:rPr>
                <w:rFonts w:ascii="Times New Roman" w:hAnsi="Times New Roman" w:cs="Times New Roman"/>
                <w:color w:val="#000000"/>
                <w:sz w:val="24"/>
                <w:szCs w:val="24"/>
              </w:rPr>
              <w:t> -ценообразование валютных форвардов;</w:t>
            </w:r>
          </w:p>
          <w:p>
            <w:pPr>
              <w:jc w:val="both"/>
              <w:spacing w:after="0" w:line="240" w:lineRule="auto"/>
              <w:rPr>
                <w:sz w:val="24"/>
                <w:szCs w:val="24"/>
              </w:rPr>
            </w:pPr>
            <w:r>
              <w:rPr>
                <w:rFonts w:ascii="Times New Roman" w:hAnsi="Times New Roman" w:cs="Times New Roman"/>
                <w:color w:val="#000000"/>
                <w:sz w:val="24"/>
                <w:szCs w:val="24"/>
              </w:rPr>
              <w:t> -ценообразование валютных опционов;</w:t>
            </w:r>
          </w:p>
          <w:p>
            <w:pPr>
              <w:jc w:val="both"/>
              <w:spacing w:after="0" w:line="240" w:lineRule="auto"/>
              <w:rPr>
                <w:sz w:val="24"/>
                <w:szCs w:val="24"/>
              </w:rPr>
            </w:pPr>
            <w:r>
              <w:rPr>
                <w:rFonts w:ascii="Times New Roman" w:hAnsi="Times New Roman" w:cs="Times New Roman"/>
                <w:color w:val="#000000"/>
                <w:sz w:val="24"/>
                <w:szCs w:val="24"/>
              </w:rPr>
              <w:t> -применение валютных форвардов и опционов при хеджировании рыночных рисков;</w:t>
            </w:r>
          </w:p>
          <w:p>
            <w:pPr>
              <w:jc w:val="both"/>
              <w:spacing w:after="0" w:line="240" w:lineRule="auto"/>
              <w:rPr>
                <w:sz w:val="24"/>
                <w:szCs w:val="24"/>
              </w:rPr>
            </w:pPr>
            <w:r>
              <w:rPr>
                <w:rFonts w:ascii="Times New Roman" w:hAnsi="Times New Roman" w:cs="Times New Roman"/>
                <w:color w:val="#000000"/>
                <w:sz w:val="24"/>
                <w:szCs w:val="24"/>
              </w:rPr>
              <w:t>  -расчет MTM. Управление процентным риском:</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процентных свопов, валютно-процентных свопов, базисов;</w:t>
            </w:r>
          </w:p>
          <w:p>
            <w:pPr>
              <w:jc w:val="both"/>
              <w:spacing w:after="0" w:line="240" w:lineRule="auto"/>
              <w:rPr>
                <w:sz w:val="24"/>
                <w:szCs w:val="24"/>
              </w:rPr>
            </w:pPr>
            <w:r>
              <w:rPr>
                <w:rFonts w:ascii="Times New Roman" w:hAnsi="Times New Roman" w:cs="Times New Roman"/>
                <w:color w:val="#000000"/>
                <w:sz w:val="24"/>
                <w:szCs w:val="24"/>
              </w:rPr>
              <w:t> -Ценообразование процентных свопов;</w:t>
            </w:r>
          </w:p>
          <w:p>
            <w:pPr>
              <w:jc w:val="both"/>
              <w:spacing w:after="0" w:line="240" w:lineRule="auto"/>
              <w:rPr>
                <w:sz w:val="24"/>
                <w:szCs w:val="24"/>
              </w:rPr>
            </w:pPr>
            <w:r>
              <w:rPr>
                <w:rFonts w:ascii="Times New Roman" w:hAnsi="Times New Roman" w:cs="Times New Roman"/>
                <w:color w:val="#000000"/>
                <w:sz w:val="24"/>
                <w:szCs w:val="24"/>
              </w:rPr>
              <w:t> -Базисные свопы, MTM свопы. Управление кредитным риском:</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управления кредитным риском: VaR / CVA;</w:t>
            </w:r>
          </w:p>
          <w:p>
            <w:pPr>
              <w:jc w:val="both"/>
              <w:spacing w:after="0" w:line="240" w:lineRule="auto"/>
              <w:rPr>
                <w:sz w:val="24"/>
                <w:szCs w:val="24"/>
              </w:rPr>
            </w:pPr>
            <w:r>
              <w:rPr>
                <w:rFonts w:ascii="Times New Roman" w:hAnsi="Times New Roman" w:cs="Times New Roman"/>
                <w:color w:val="#000000"/>
                <w:sz w:val="24"/>
                <w:szCs w:val="24"/>
              </w:rPr>
              <w:t> -Концепция Wrong-way risk и Right-way risk;</w:t>
            </w:r>
          </w:p>
          <w:p>
            <w:pPr>
              <w:jc w:val="both"/>
              <w:spacing w:after="0" w:line="240" w:lineRule="auto"/>
              <w:rPr>
                <w:sz w:val="24"/>
                <w:szCs w:val="24"/>
              </w:rPr>
            </w:pPr>
            <w:r>
              <w:rPr>
                <w:rFonts w:ascii="Times New Roman" w:hAnsi="Times New Roman" w:cs="Times New Roman"/>
                <w:color w:val="#000000"/>
                <w:sz w:val="24"/>
                <w:szCs w:val="24"/>
              </w:rPr>
              <w:t>  -Расчет и применение CVA.</w:t>
            </w:r>
          </w:p>
          <w:p>
            <w:pPr>
              <w:jc w:val="both"/>
              <w:spacing w:after="0" w:line="240" w:lineRule="auto"/>
              <w:rPr>
                <w:sz w:val="24"/>
                <w:szCs w:val="24"/>
              </w:rPr>
            </w:pPr>
            <w:r>
              <w:rPr>
                <w:rFonts w:ascii="Times New Roman" w:hAnsi="Times New Roman" w:cs="Times New Roman"/>
                <w:color w:val="#000000"/>
                <w:sz w:val="24"/>
                <w:szCs w:val="24"/>
              </w:rPr>
              <w:t> Кредитные деривативы:</w:t>
            </w:r>
          </w:p>
          <w:p>
            <w:pPr>
              <w:jc w:val="both"/>
              <w:spacing w:after="0" w:line="240" w:lineRule="auto"/>
              <w:rPr>
                <w:sz w:val="24"/>
                <w:szCs w:val="24"/>
              </w:rPr>
            </w:pPr>
            <w:r>
              <w:rPr>
                <w:rFonts w:ascii="Times New Roman" w:hAnsi="Times New Roman" w:cs="Times New Roman"/>
                <w:color w:val="#000000"/>
                <w:sz w:val="24"/>
                <w:szCs w:val="24"/>
              </w:rPr>
              <w:t>  -Принципы работы CDS:</w:t>
            </w:r>
          </w:p>
          <w:p>
            <w:pPr>
              <w:jc w:val="both"/>
              <w:spacing w:after="0" w:line="240" w:lineRule="auto"/>
              <w:rPr>
                <w:sz w:val="24"/>
                <w:szCs w:val="24"/>
              </w:rPr>
            </w:pPr>
            <w:r>
              <w:rPr>
                <w:rFonts w:ascii="Times New Roman" w:hAnsi="Times New Roman" w:cs="Times New Roman"/>
                <w:color w:val="#000000"/>
                <w:sz w:val="24"/>
                <w:szCs w:val="24"/>
              </w:rPr>
              <w:t> -Ценообразование CDS:</w:t>
            </w:r>
          </w:p>
          <w:p>
            <w:pPr>
              <w:jc w:val="both"/>
              <w:spacing w:after="0" w:line="240" w:lineRule="auto"/>
              <w:rPr>
                <w:sz w:val="24"/>
                <w:szCs w:val="24"/>
              </w:rPr>
            </w:pPr>
            <w:r>
              <w:rPr>
                <w:rFonts w:ascii="Times New Roman" w:hAnsi="Times New Roman" w:cs="Times New Roman"/>
                <w:color w:val="#000000"/>
                <w:sz w:val="24"/>
                <w:szCs w:val="24"/>
              </w:rPr>
              <w:t> -Основные принципы рынка CDS.</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Операционные риски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операционных рисков. Классификация операционных рисков. Основные типы операционных рисков. Особенности идентификации источников операционных рисков. Инструмент «галстук-бабочка» для идентификации операционных рисков. Оценка операционных рисков Метод FMEA как инструмент качественной оценки операционных рисков. Информационная безопасность и IT-риски. Система управления ИТ-рисками. Мониторинг операционных рисков. Проектирование базы данных рисковых событий. Аудит операционных рисков. Управление операционными рисками. Основные инструменты снижения операционных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«Интегрированный риск-менеджмент»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8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2024-2025_ФГОС3++2024_Маг-ЗФО-Менеджмент(РМСиТПО)(24)_plx_Интегрированный риск-менеджмент</dc:title>
  <dc:creator>FastReport.NET</dc:creator>
</cp:coreProperties>
</file>